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A2" w:rsidRPr="006449FD" w:rsidRDefault="00A53F00" w:rsidP="00A53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4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Odpowiedzialność nieletnich za czyny karalne</w:t>
      </w:r>
    </w:p>
    <w:p w:rsidR="006213C7" w:rsidRDefault="006213C7" w:rsidP="00A53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3C7" w:rsidRDefault="002C6CA2" w:rsidP="00395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Odpowiedzialno</w:t>
      </w:r>
      <w:r w:rsidR="00014693" w:rsidRPr="006449FD">
        <w:rPr>
          <w:rFonts w:ascii="Times New Roman" w:hAnsi="Times New Roman" w:cs="Times New Roman"/>
          <w:color w:val="000000"/>
          <w:sz w:val="24"/>
          <w:szCs w:val="24"/>
        </w:rPr>
        <w:t>ść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nieletnich z tytułu popeł</w:t>
      </w:r>
      <w:r w:rsidR="006213C7">
        <w:rPr>
          <w:rFonts w:ascii="Times New Roman" w:hAnsi="Times New Roman" w:cs="Times New Roman"/>
          <w:color w:val="000000"/>
          <w:sz w:val="24"/>
          <w:szCs w:val="24"/>
        </w:rPr>
        <w:t>nienia czynów karalnych regulują: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13C7" w:rsidRPr="006213C7" w:rsidRDefault="002C6CA2" w:rsidP="006213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13C7">
        <w:rPr>
          <w:rFonts w:ascii="Times New Roman" w:hAnsi="Times New Roman" w:cs="Times New Roman"/>
          <w:color w:val="000000"/>
          <w:sz w:val="24"/>
          <w:szCs w:val="24"/>
        </w:rPr>
        <w:t>ustawa o postępowaniu w sprawach nieletnich (</w:t>
      </w:r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 dnia 26 pa</w:t>
      </w:r>
      <w:r w:rsidRPr="006213C7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dziernika 1982 r. o post</w:t>
      </w:r>
      <w:r w:rsidRPr="006213C7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powaniu w sprawach nieletnich, tekst jednolity </w:t>
      </w:r>
      <w:proofErr w:type="spellStart"/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Dz.U</w:t>
      </w:r>
      <w:proofErr w:type="spellEnd"/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2002, Nr 11, poz. 109 ze zm.)</w:t>
      </w:r>
      <w:r w:rsidR="006213C7"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:rsidR="006213C7" w:rsidRPr="006213C7" w:rsidRDefault="002C6CA2" w:rsidP="006213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13C7">
        <w:rPr>
          <w:rFonts w:ascii="Times New Roman" w:hAnsi="Times New Roman" w:cs="Times New Roman"/>
          <w:color w:val="000000"/>
          <w:sz w:val="24"/>
          <w:szCs w:val="24"/>
        </w:rPr>
        <w:t>kodeks karny (</w:t>
      </w:r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 dnia 6 czerwca 1997 r. - Kodeks karny, </w:t>
      </w:r>
      <w:proofErr w:type="spellStart"/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Dz.U</w:t>
      </w:r>
      <w:proofErr w:type="spellEnd"/>
      <w:r w:rsidRPr="0062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Nr 88, poz. 553 ze zm.)</w:t>
      </w:r>
      <w:r w:rsidR="00621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A2" w:rsidRPr="006213C7" w:rsidRDefault="006213C7" w:rsidP="006213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13C7">
        <w:rPr>
          <w:rFonts w:ascii="Times New Roman" w:hAnsi="Times New Roman" w:cs="Times New Roman"/>
          <w:color w:val="000000"/>
          <w:sz w:val="24"/>
          <w:szCs w:val="24"/>
        </w:rPr>
        <w:t>kodeks wykroczeń (Dz. U. 1971 r. Nr 12 poz. 114 ze zm.)</w:t>
      </w:r>
    </w:p>
    <w:p w:rsidR="00B409D6" w:rsidRDefault="00B409D6" w:rsidP="006213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9D6" w:rsidRDefault="00B409D6" w:rsidP="00395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Zasadnicze znaczenie ma ustawa </w:t>
      </w:r>
      <w:r w:rsidRPr="006213C7">
        <w:rPr>
          <w:rFonts w:ascii="Times New Roman" w:hAnsi="Times New Roman" w:cs="Times New Roman"/>
          <w:color w:val="000000"/>
          <w:sz w:val="24"/>
          <w:szCs w:val="24"/>
        </w:rPr>
        <w:t>o postępowaniu w sprawach nieletnich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Preambuła </w:t>
      </w:r>
      <w:r>
        <w:rPr>
          <w:rFonts w:ascii="Times New Roman" w:hAnsi="Times New Roman" w:cs="Times New Roman"/>
          <w:color w:val="000000"/>
          <w:sz w:val="24"/>
          <w:szCs w:val="24"/>
        </w:rPr>
        <w:t>tejże ustawy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przedstawia cele jakich realizację założył ustawodawca uchwalając ten akt prawny: „W dążeniu do przeciwdziałania demoralizacji i przestępczości nieletnich i stwarzania warunków powrotu do normalnego życia nieletnim, którzy popadli w konflikt z prawem bądź z zasadami współżycia społecznego, oraz w dążeniu do umacniania funkcji opiekuńczo-wychowawczej i poczucia odpowiedzialności rodzin za wychowanie nieletnich na świadomych swych obowiązków członków społeczeństwa (…)”</w:t>
      </w:r>
    </w:p>
    <w:p w:rsidR="006B22F9" w:rsidRPr="006449FD" w:rsidRDefault="006B22F9" w:rsidP="006B2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ustawy stosuje się w zakresie:  </w:t>
      </w:r>
    </w:p>
    <w:p w:rsidR="006B22F9" w:rsidRPr="006449FD" w:rsidRDefault="006B22F9" w:rsidP="006B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1) zapobiegania i zwalczania demoralizacji - w stosunku do osób, które nie ukończyły lat 18;  </w:t>
      </w:r>
    </w:p>
    <w:p w:rsidR="006B22F9" w:rsidRPr="006449FD" w:rsidRDefault="006B22F9" w:rsidP="006B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2) postępowania w sprawach o czyny karalne - w stosunku do osób, które dopuściły się takiego czynu po ukończeniu lat 13, ale nie ukończyły lat 17;  </w:t>
      </w:r>
    </w:p>
    <w:p w:rsidR="00B409D6" w:rsidRDefault="006B22F9" w:rsidP="006B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3) wykonywania środków wychowawczych lub poprawczych - w stosunku do osób, względem których środki te zostały orzeczone, nie dłużej jednak niż do ukończenia przez te osoby lat 21.</w:t>
      </w:r>
    </w:p>
    <w:p w:rsidR="00395580" w:rsidRPr="006449FD" w:rsidRDefault="00395580" w:rsidP="00395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Przez</w:t>
      </w:r>
      <w:r w:rsidRPr="006449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czyn karalny</w:t>
      </w:r>
      <w:r w:rsidRPr="006449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(definicja z ustawy o postępowaniu w sprawach nieletnich) </w:t>
      </w:r>
      <w:r w:rsidRPr="006449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rozumie się czyn zabroniony przez ustawę jako: </w:t>
      </w:r>
    </w:p>
    <w:p w:rsidR="00395580" w:rsidRPr="006449FD" w:rsidRDefault="00395580" w:rsidP="0039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a) przestępstwo lub przestępstwo skarbowe albo </w:t>
      </w:r>
    </w:p>
    <w:p w:rsidR="00395580" w:rsidRPr="006449FD" w:rsidRDefault="00395580" w:rsidP="0039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b) wykroczenie określone w art.: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51 - zakłócanie porządku publicznego,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69 - niszczenie i uszkadzanie znaków umieszczonych przez organ państwowy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74 - uszkadzanie znaków lub urządzeń zapobiegających niebezpieczeństwu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76 - rzucanie kamieniami w pojazd będący w ruchu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85 - samowolna zmiana znaków lub sygnałów drogowych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87 - prowadzenie pojazdów przez osobę będącą po użyciu alkoholu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119 - kradzież lub przywłaszczenie rzeczy ruchomej (o wartości nie przekraczającej 1/4 minimalnego wynagrodzenia)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122 - paserstwo (jeżeli wartość mienia nie przekracza 1/4 minimalnego wynagrodzenia)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124 - umyślne niszczenie lub uszkadzanie rzeczy cudzej (o wartości nie przekraczającej 1/4 minimalnego wynagrodzenia)</w:t>
      </w:r>
    </w:p>
    <w:p w:rsidR="00395580" w:rsidRPr="00B409D6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133 – nabywanie w celu odsprzedaży z zyskiem lub sprzedaż z zyskiem biletów na imprezy</w:t>
      </w:r>
    </w:p>
    <w:p w:rsidR="00395580" w:rsidRDefault="00395580" w:rsidP="003955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D6">
        <w:rPr>
          <w:rFonts w:ascii="Times New Roman" w:hAnsi="Times New Roman" w:cs="Times New Roman"/>
          <w:color w:val="000000"/>
          <w:sz w:val="24"/>
          <w:szCs w:val="24"/>
        </w:rPr>
        <w:t>143 -  utrudnianie lub uniemożliwianie korzystania z urządzeń publicznych</w:t>
      </w:r>
    </w:p>
    <w:p w:rsidR="00061EC6" w:rsidRDefault="00061EC6" w:rsidP="00061E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EC6" w:rsidRPr="006449FD" w:rsidRDefault="00061EC6" w:rsidP="00061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W świetle powyższego zestawienia jednoznacznie wynika, że nie za każde wykroczenie nieletni poniżej 17 lat będzie odpowiadał, a jest to granica wieku od jakiej kodeks wykroczeń przewiduje odpowiedzialność. Nieletni, który ukończył lat 17 odpowiada zasadniczo wg kodeksu wykroczeń, lecz można zastosować wobec niego rozwiązania przewidziane  ustawą o postępowaniu w sprawach nieletnich. </w:t>
      </w:r>
    </w:p>
    <w:p w:rsidR="00061EC6" w:rsidRPr="00B409D6" w:rsidRDefault="00061EC6" w:rsidP="00061E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580" w:rsidRDefault="00395580" w:rsidP="006B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A2" w:rsidRPr="006449FD" w:rsidRDefault="006B22F9" w:rsidP="00395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 uwagi na wiek sprawcy oraz rodzaj naruszenia o</w:t>
      </w:r>
      <w:r w:rsidR="00B409D6">
        <w:rPr>
          <w:rFonts w:ascii="Times New Roman" w:hAnsi="Times New Roman" w:cs="Times New Roman"/>
          <w:color w:val="000000"/>
          <w:sz w:val="24"/>
          <w:szCs w:val="24"/>
        </w:rPr>
        <w:t>dpowiedzialn</w:t>
      </w:r>
      <w:r>
        <w:rPr>
          <w:rFonts w:ascii="Times New Roman" w:hAnsi="Times New Roman" w:cs="Times New Roman"/>
          <w:color w:val="000000"/>
          <w:sz w:val="24"/>
          <w:szCs w:val="24"/>
        </w:rPr>
        <w:t>ość nieletnich można podzielić</w:t>
      </w:r>
      <w:r w:rsidR="002C6CA2" w:rsidRPr="006449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F00" w:rsidRPr="006449FD" w:rsidRDefault="002C6CA2" w:rsidP="00A53F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F9">
        <w:rPr>
          <w:rFonts w:ascii="Times New Roman" w:hAnsi="Times New Roman" w:cs="Times New Roman"/>
          <w:color w:val="000000"/>
          <w:sz w:val="24"/>
          <w:szCs w:val="24"/>
          <w:u w:val="single"/>
        </w:rPr>
        <w:t>p</w:t>
      </w:r>
      <w:r w:rsidR="006B22F9" w:rsidRPr="006B22F9">
        <w:rPr>
          <w:rFonts w:ascii="Times New Roman" w:hAnsi="Times New Roman" w:cs="Times New Roman"/>
          <w:color w:val="000000"/>
          <w:sz w:val="24"/>
          <w:szCs w:val="24"/>
          <w:u w:val="single"/>
        </w:rPr>
        <w:t>rzed ukończeniem 13 roku życia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popełnienie czynu </w:t>
      </w:r>
      <w:r w:rsidR="00395580">
        <w:rPr>
          <w:rFonts w:ascii="Times New Roman" w:hAnsi="Times New Roman" w:cs="Times New Roman"/>
          <w:color w:val="000000"/>
          <w:sz w:val="24"/>
          <w:szCs w:val="24"/>
        </w:rPr>
        <w:t>karalnego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9D6"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>wyłącznie pr</w:t>
      </w:r>
      <w:r w:rsidR="00563A87"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zejaw demoralizacji 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B409D6">
        <w:rPr>
          <w:rFonts w:ascii="Times New Roman" w:hAnsi="Times New Roman" w:cs="Times New Roman"/>
          <w:color w:val="000000"/>
          <w:sz w:val="24"/>
          <w:szCs w:val="24"/>
        </w:rPr>
        <w:t>stosuje się</w:t>
      </w:r>
      <w:r w:rsidR="00563A87"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tylko ś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>rodki przewidziane w ustawie o post</w:t>
      </w:r>
      <w:r w:rsidR="00563A87" w:rsidRPr="006449FD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>powaniu w sprawach</w:t>
      </w:r>
      <w:r w:rsidR="00563A87"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>nieletnich;</w:t>
      </w:r>
    </w:p>
    <w:p w:rsidR="00DE6F66" w:rsidRPr="00395580" w:rsidRDefault="00C3134E" w:rsidP="00A53F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 13 do 17 roku</w:t>
      </w:r>
      <w:r w:rsidR="002C6CA2" w:rsidRPr="0039558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63A87" w:rsidRPr="00395580">
        <w:rPr>
          <w:rFonts w:ascii="Times New Roman" w:hAnsi="Times New Roman" w:cs="Times New Roman"/>
          <w:color w:val="000000"/>
          <w:sz w:val="24"/>
          <w:szCs w:val="24"/>
          <w:u w:val="single"/>
        </w:rPr>
        <w:t>ż</w:t>
      </w:r>
      <w:r w:rsidR="002C6CA2" w:rsidRPr="00395580">
        <w:rPr>
          <w:rFonts w:ascii="Times New Roman" w:hAnsi="Times New Roman" w:cs="Times New Roman"/>
          <w:color w:val="000000"/>
          <w:sz w:val="24"/>
          <w:szCs w:val="24"/>
          <w:u w:val="single"/>
        </w:rPr>
        <w:t>ycia</w:t>
      </w:r>
      <w:r w:rsidR="002C6CA2" w:rsidRPr="0039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popełnienie czynu zabronionego stosuje się </w:t>
      </w:r>
      <w:r w:rsidR="00563A87" w:rsidRPr="00395580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2C6CA2" w:rsidRPr="00395580">
        <w:rPr>
          <w:rFonts w:ascii="Times New Roman" w:hAnsi="Times New Roman" w:cs="Times New Roman"/>
          <w:color w:val="000000"/>
          <w:sz w:val="24"/>
          <w:szCs w:val="24"/>
        </w:rPr>
        <w:t>rodki przewidziane w ustawie o post</w:t>
      </w:r>
      <w:r w:rsidR="00563A87" w:rsidRPr="00395580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2C6CA2" w:rsidRPr="00395580">
        <w:rPr>
          <w:rFonts w:ascii="Times New Roman" w:hAnsi="Times New Roman" w:cs="Times New Roman"/>
          <w:color w:val="000000"/>
          <w:sz w:val="24"/>
          <w:szCs w:val="24"/>
        </w:rPr>
        <w:t>powaniu w sprawach</w:t>
      </w:r>
      <w:r w:rsidR="00563A87" w:rsidRPr="0039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CA2" w:rsidRPr="00395580">
        <w:rPr>
          <w:rFonts w:ascii="Times New Roman" w:hAnsi="Times New Roman" w:cs="Times New Roman"/>
          <w:color w:val="000000"/>
          <w:sz w:val="24"/>
          <w:szCs w:val="24"/>
        </w:rPr>
        <w:t xml:space="preserve">nieletnich; </w:t>
      </w:r>
      <w:r w:rsidR="00395580">
        <w:rPr>
          <w:rFonts w:ascii="Times New Roman" w:hAnsi="Times New Roman" w:cs="Times New Roman"/>
          <w:color w:val="000000"/>
          <w:sz w:val="24"/>
          <w:szCs w:val="24"/>
        </w:rPr>
        <w:t>jednakże n</w:t>
      </w:r>
      <w:r w:rsidR="00395580" w:rsidRPr="00395580">
        <w:rPr>
          <w:rFonts w:ascii="Times New Roman" w:hAnsi="Times New Roman" w:cs="Times New Roman"/>
          <w:color w:val="000000"/>
          <w:sz w:val="24"/>
          <w:szCs w:val="24"/>
        </w:rPr>
        <w:t>ieletni, któ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ry </w:t>
      </w:r>
      <w:r w:rsidRPr="00C3134E">
        <w:rPr>
          <w:rFonts w:ascii="Times New Roman" w:hAnsi="Times New Roman" w:cs="Times New Roman"/>
          <w:color w:val="000000"/>
          <w:sz w:val="24"/>
          <w:szCs w:val="24"/>
          <w:u w:val="single"/>
        </w:rPr>
        <w:t>po ukończeniu 15 lat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</w:t>
      </w:r>
      <w:r w:rsidR="00395580" w:rsidRPr="00395580">
        <w:rPr>
          <w:rFonts w:ascii="Times New Roman" w:hAnsi="Times New Roman" w:cs="Times New Roman"/>
          <w:color w:val="000000"/>
          <w:sz w:val="24"/>
          <w:szCs w:val="24"/>
        </w:rPr>
        <w:t>a się czynu zabronionego określonego w art. 134, art. 148 § 1, 2 lub 3, art. 156 § 1 lub 3, art. 163 § 1 lub 3, art. 166, art. 173 § 1 lub 3, art. 197 § 3 lub 4, art. 223 § 2, art. 252 § 1 lub 2 oraz w art. 280, może odpowiadać na zasadach określonych w kodeksie</w:t>
      </w:r>
      <w:r w:rsidR="00395580">
        <w:rPr>
          <w:rFonts w:ascii="Times New Roman" w:hAnsi="Times New Roman" w:cs="Times New Roman"/>
          <w:color w:val="000000"/>
          <w:sz w:val="24"/>
          <w:szCs w:val="24"/>
        </w:rPr>
        <w:t xml:space="preserve"> karnym</w:t>
      </w:r>
      <w:r w:rsidR="00395580" w:rsidRPr="00395580">
        <w:rPr>
          <w:rFonts w:ascii="Times New Roman" w:hAnsi="Times New Roman" w:cs="Times New Roman"/>
          <w:color w:val="000000"/>
          <w:sz w:val="24"/>
          <w:szCs w:val="24"/>
        </w:rPr>
        <w:t>, jeżeli okoliczności sprawy oraz stopień rozwoju sprawcy, jego właściwości i warunki osobiste za tym przemawiają, a w szczególności, jeżeli poprzednio stosowane środki wychowawcze lub poprawcze okazały się bezskuteczne</w:t>
      </w:r>
      <w:r w:rsidR="00395580">
        <w:rPr>
          <w:rFonts w:ascii="Times New Roman" w:hAnsi="Times New Roman" w:cs="Times New Roman"/>
          <w:color w:val="000000"/>
          <w:sz w:val="24"/>
          <w:szCs w:val="24"/>
        </w:rPr>
        <w:t xml:space="preserve">, z tym że </w:t>
      </w:r>
      <w:r w:rsidR="00395580" w:rsidRPr="00395580">
        <w:rPr>
          <w:rFonts w:ascii="Times New Roman" w:hAnsi="Times New Roman" w:cs="Times New Roman"/>
          <w:color w:val="000000"/>
          <w:sz w:val="24"/>
          <w:szCs w:val="24"/>
        </w:rPr>
        <w:t>orzeczona kara nie może przekroczyć dwóch trzecich górnej granicy ustawowego zagrożenia przewidzianego za przypisane sprawcy przestępstwo; sąd może zastosować także nadzwyczajne złagodzenie kary.</w:t>
      </w:r>
    </w:p>
    <w:p w:rsidR="00395580" w:rsidRPr="006A37C7" w:rsidRDefault="00C3134E" w:rsidP="00A53F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pomiędzy </w:t>
      </w:r>
      <w:r w:rsidR="00395580" w:rsidRPr="00395580">
        <w:rPr>
          <w:rFonts w:ascii="Times New Roman" w:hAnsi="Times New Roman" w:cs="Times New Roman"/>
          <w:color w:val="000000"/>
          <w:sz w:val="24"/>
          <w:szCs w:val="24"/>
          <w:u w:val="single"/>
        </w:rPr>
        <w:t>17 a 18 rokiem życia</w:t>
      </w:r>
      <w:r w:rsidR="00395580">
        <w:rPr>
          <w:rFonts w:ascii="Times New Roman" w:hAnsi="Times New Roman" w:cs="Times New Roman"/>
          <w:color w:val="000000"/>
          <w:sz w:val="24"/>
          <w:szCs w:val="24"/>
        </w:rPr>
        <w:t xml:space="preserve"> za popełnienie</w:t>
      </w:r>
      <w:r w:rsidR="006B22F9"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czynu zabronionego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154D6">
        <w:rPr>
          <w:rFonts w:ascii="Times New Roman" w:hAnsi="Times New Roman" w:cs="Times New Roman"/>
          <w:color w:val="000000"/>
          <w:sz w:val="24"/>
          <w:szCs w:val="24"/>
        </w:rPr>
        <w:t>w rozumieniu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 xml:space="preserve"> kodeksu karnego, </w:t>
      </w:r>
      <w:r w:rsidR="006A37C7">
        <w:rPr>
          <w:rFonts w:ascii="Times New Roman" w:hAnsi="Times New Roman" w:cs="Times New Roman"/>
          <w:color w:val="000000"/>
          <w:sz w:val="24"/>
          <w:szCs w:val="24"/>
        </w:rPr>
        <w:t xml:space="preserve">kodeksu wykroczeń, 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>bądź penalizowane</w:t>
      </w:r>
      <w:r w:rsidR="005154D6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 xml:space="preserve"> przez inne ustawy</w:t>
      </w:r>
      <w:r w:rsidR="003955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</w:t>
      </w:r>
      <w:r w:rsidR="006B22F9">
        <w:rPr>
          <w:rFonts w:ascii="Times New Roman" w:hAnsi="Times New Roman" w:cs="Times New Roman"/>
          <w:color w:val="000000"/>
          <w:sz w:val="24"/>
          <w:szCs w:val="24"/>
        </w:rPr>
        <w:t>odpowiada na zasadach przewidzianych w kodeksie karnym</w:t>
      </w:r>
      <w:r w:rsidR="006A37C7">
        <w:rPr>
          <w:rFonts w:ascii="Times New Roman" w:hAnsi="Times New Roman" w:cs="Times New Roman"/>
          <w:color w:val="000000"/>
          <w:sz w:val="24"/>
          <w:szCs w:val="24"/>
        </w:rPr>
        <w:t xml:space="preserve"> (odpowiednio: wg kodeksu wykroczeń)</w:t>
      </w:r>
      <w:r>
        <w:rPr>
          <w:rFonts w:ascii="Times New Roman" w:hAnsi="Times New Roman" w:cs="Times New Roman"/>
          <w:color w:val="000000"/>
          <w:sz w:val="24"/>
          <w:szCs w:val="24"/>
        </w:rPr>
        <w:t>; jednakże w</w:t>
      </w:r>
      <w:r w:rsidRPr="00C3134E">
        <w:rPr>
          <w:rFonts w:ascii="Times New Roman" w:hAnsi="Times New Roman" w:cs="Times New Roman"/>
          <w:color w:val="000000"/>
          <w:sz w:val="24"/>
          <w:szCs w:val="24"/>
        </w:rPr>
        <w:t xml:space="preserve"> stosunku do sprawcy, który popełnił występek </w:t>
      </w:r>
      <w:r w:rsidR="005154D6">
        <w:rPr>
          <w:rFonts w:ascii="Times New Roman" w:hAnsi="Times New Roman" w:cs="Times New Roman"/>
          <w:color w:val="000000"/>
          <w:sz w:val="24"/>
          <w:szCs w:val="24"/>
        </w:rPr>
        <w:t xml:space="preserve">(czyn zabroniony zagrożony karą pozbawienia wolności, której dolna granica nie przekracza 3 lat, bądź zagrożony inną karą) </w:t>
      </w:r>
      <w:r w:rsidRPr="00C3134E">
        <w:rPr>
          <w:rFonts w:ascii="Times New Roman" w:hAnsi="Times New Roman" w:cs="Times New Roman"/>
          <w:color w:val="000000"/>
          <w:sz w:val="24"/>
          <w:szCs w:val="24"/>
        </w:rPr>
        <w:t>po ukończeniu lat 17, lecz przed ukończeniem lat 18, sąd zamiast kary stosuje środki wychowawcze, lecznicze albo poprawcze przewidziane dla nieletnich, jeżeli okoliczności sprawy oraz stopień rozwoju sprawcy, jego właściwości i warunki osobiste za tym przemawiają.</w:t>
      </w:r>
    </w:p>
    <w:p w:rsidR="00395580" w:rsidRPr="006449FD" w:rsidRDefault="00395580" w:rsidP="003955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7C7">
        <w:rPr>
          <w:rFonts w:ascii="Times New Roman" w:hAnsi="Times New Roman" w:cs="Times New Roman"/>
          <w:color w:val="000000"/>
          <w:sz w:val="24"/>
          <w:szCs w:val="24"/>
          <w:u w:val="single"/>
        </w:rPr>
        <w:t>nieletni w wieku do 18 lat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 wyraża przejawy demoralizacji, nie popełniając de facto czynu karalnego – stosuje się środki wychowawcze przewidziane ustawą o postępowaniu w sprawach nieletnich.</w:t>
      </w:r>
    </w:p>
    <w:p w:rsidR="00A669F5" w:rsidRPr="006449FD" w:rsidRDefault="00A669F5" w:rsidP="00A669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531" w:rsidRPr="00B34531" w:rsidRDefault="00B34531" w:rsidP="00B3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Postępowanie w sprawach nieletnich prowadzi sąd rodzinny – sąd rejonowy, wydział rodzinny i nieletnich. </w:t>
      </w: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Wobec nieletnich sąd rodzinny może: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udzielić upomnienia;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zobowiązać do określonego postępowania, a zwłaszcza do naprawienia wyrządzonej szkody, do wykonania określonych prac lub świadczeń na rzecz pokrzywdzonego lub społeczności lokalnej, do przeproszenia pokrzywdzonego, do podjęcia nauki lub pracy, do uczestniczenia w odpowiednich zajęciach o charakterze wychowawczym, terapeutycznym lub szkoleniowym, do powstrzymania się od przebywania w określonych środowiskach lub miejscach albo do zaniechania używania alkoholu lub innego środka w celu wprowadzania się w stan odurzenia;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ustanowić nadzór odpowiedzialny rodziców lub opiekuna;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ustanowić nadzór organizacji młodzieżowej lub innej organizacji społecznej, zakładu pracy albo osoby godnej zaufania - udzielających poręczenia za nieletniego;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zastosować nadzór kuratora;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skierować do ośrodka kuratorskiego, a także do organizacji społecznej lub instytucji zajmujących się pracą z nieletnimi o charakterze wychowawczym, terapeutycznym lub szkoleniowym, po uprzednim porozumieniu się z tą organizacją lub instytucją;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orzec zakaz prowadzenia pojazdów;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orzec przepadek rzeczy uzyskanych w związku z popełnieniem czynu karalnego; 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orzec umieszczenie w młodzieżowym ośrodku wychowawczym albo w rodzinie zastępczej zawodowej, która ukończyła szkolenie przygotowujące do sprawowania opieki nad nieletnim; </w:t>
      </w:r>
    </w:p>
    <w:p w:rsid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orzec umieszczenie w zakładzie poprawczym;  </w:t>
      </w:r>
    </w:p>
    <w:p w:rsidR="00B34531" w:rsidRPr="00B34531" w:rsidRDefault="00B34531" w:rsidP="00B34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>zastosować inne środki zastrzeżone w ustawie do właściwości sądu rodzinnego, jak również zastosować środki przewidziane w Kodeksie rodzinnym i opiekuńczym, z wyłączeniem umieszczenia w rodzinie zastępczej spokrewnionej, rodzinie zastępczej niezawodowej, rodzinnym domu dziecka, placówce wsparcia dziennego, placówce opiekuńczo-wychowawczej i regionalnej placówce opiekuńczo-terapeutycznej.</w:t>
      </w:r>
    </w:p>
    <w:p w:rsidR="00A669F5" w:rsidRPr="006449FD" w:rsidRDefault="00A669F5" w:rsidP="00B3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W sprawie nieletniego ustawa o postępowaniu w sprawach nieletnich nakazuje kierować się przede wszystkim jego dobrem, dążąc do osiągnięcia korzystnych zmian w osobowości i zachowaniu się nieletniego oraz zmierzając w miarę potrzeby do prawidłowego spełnienia przez rodziców lub opiekuna ich obowiązków wobec nieletniego, uwzględniając przy tym interes społeczny.  </w:t>
      </w:r>
    </w:p>
    <w:p w:rsidR="00A669F5" w:rsidRDefault="00A669F5" w:rsidP="00A66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W postępowaniu należy brać spod uwagę osobowość nieletniego, a w szczególności wiek, stan zdrowia, stopień rozwoju psychicznego i fizycznego, cechy charakteru, a także zachowanie się oraz przyczyny i stopień demoralizacji, charakter środowiska oraz w</w:t>
      </w:r>
      <w:r w:rsidR="006449FD">
        <w:rPr>
          <w:rFonts w:ascii="Times New Roman" w:hAnsi="Times New Roman" w:cs="Times New Roman"/>
          <w:color w:val="000000"/>
          <w:sz w:val="24"/>
          <w:szCs w:val="24"/>
        </w:rPr>
        <w:t>arunki wychowania nieletniego.</w:t>
      </w:r>
    </w:p>
    <w:p w:rsidR="00B34531" w:rsidRDefault="006449FD" w:rsidP="00A66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>Wobec nieletniego mogą być stosowane środki wychowawcze oraz środek poprawczy w postaci umie</w:t>
      </w:r>
      <w:r>
        <w:rPr>
          <w:rFonts w:ascii="Times New Roman" w:hAnsi="Times New Roman" w:cs="Times New Roman"/>
          <w:color w:val="000000"/>
          <w:sz w:val="24"/>
          <w:szCs w:val="24"/>
        </w:rPr>
        <w:t>szczenia w zakładzie poprawczym. K</w:t>
      </w:r>
      <w:r w:rsidRPr="006449FD">
        <w:rPr>
          <w:rFonts w:ascii="Times New Roman" w:hAnsi="Times New Roman" w:cs="Times New Roman"/>
          <w:color w:val="000000"/>
          <w:sz w:val="24"/>
          <w:szCs w:val="24"/>
        </w:rPr>
        <w:t>ara może być orzeczona tylko w wypadkach prawem przewidzianych, jeżeli inne środki nie są w stanie zapewnić resocjalizacji nieletniego.</w:t>
      </w:r>
      <w:r w:rsidR="00B34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4531" w:rsidRDefault="00B34531" w:rsidP="00621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Sąd może umieścić nieletniego w zakładzie poprawczym jedynie wtedy, </w:t>
      </w: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jeżeli przemawiają za tym wysoki stopień demoralizacji nieletniego oraz okoliczności i charakter czynu, </w:t>
      </w:r>
      <w:r>
        <w:rPr>
          <w:rFonts w:ascii="Times New Roman" w:hAnsi="Times New Roman" w:cs="Times New Roman"/>
          <w:color w:val="000000"/>
          <w:sz w:val="24"/>
          <w:szCs w:val="24"/>
        </w:rPr>
        <w:t>a jednocześnie</w:t>
      </w: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 gdy inne środki wychowawcze okazały się nieskuteczne lub nie rokują resocjalizacji nieletniego.</w:t>
      </w:r>
    </w:p>
    <w:p w:rsidR="00B34531" w:rsidRDefault="00B34531" w:rsidP="00B3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Nadto sąd rodzinny może oddziaływać na rodziców lub opiekunów nieletniego. Sąd </w:t>
      </w: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może: </w:t>
      </w:r>
    </w:p>
    <w:p w:rsidR="00B34531" w:rsidRDefault="00B34531" w:rsidP="00B345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zobowiązać rodziców lub opiekuna do poprawy warunków wychowawczych, bytowych lub zdrowotnych nieletniego, a także do ścisłej współpracy ze szkołą, do której nieletni uczęszcza, poradnią psychologiczno-pedagogiczną lub inną poradnią specjalistyczną, zakładem pracy, w którym jest zatrudniony, oraz lekarzem lub zakładem leczniczym; </w:t>
      </w:r>
    </w:p>
    <w:p w:rsidR="00B34531" w:rsidRPr="00B34531" w:rsidRDefault="00B34531" w:rsidP="00B345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 xml:space="preserve">zobowiązać rodziców lub opiekuna do naprawienia w całości lub w części szkody wyrządzonej przez nieletniego;  </w:t>
      </w:r>
    </w:p>
    <w:p w:rsidR="006449FD" w:rsidRPr="006449FD" w:rsidRDefault="00B34531" w:rsidP="00B3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31">
        <w:rPr>
          <w:rFonts w:ascii="Times New Roman" w:hAnsi="Times New Roman" w:cs="Times New Roman"/>
          <w:color w:val="000000"/>
          <w:sz w:val="24"/>
          <w:szCs w:val="24"/>
        </w:rPr>
        <w:t>W wypadku gdy rodzice lub opiekun nieletniego uchylają się od wykonania obowiązków nałożonych na nich przez sąd rodzinny, sąd ten może wymierzyć im karę pieniężną w wysokości od 50 do 1 500 złotych.  Sąd uchyla karę pieniężną w całości lub w części, jeżeli osoba ukarana w ciągu 14 dni usprawiedliwi swoje zachowanie lub przystąpi do wykonywania nałożonych obowiązków.</w:t>
      </w:r>
    </w:p>
    <w:p w:rsidR="006449FD" w:rsidRPr="006449FD" w:rsidRDefault="006449FD" w:rsidP="0064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t xml:space="preserve">Ustawa nakłada również na każdego - kto stwierdzi istnienie okoliczności świadczących o demoralizacji nieletniego, w szczególności naruszanie zasad współżycia społecznego, popełnienie czynu zabronionego, systematyczne uchylanie się od obowiązku szkolnego lub kształcenia zawodowego, używanie alkoholu lub innych środków w celu wprowadzenia się w stan odurzenia, uprawianie nierządu, włóczęgostwo, udział w grupach przestępczych - społeczny obowiązek odpowiedniego przeciwdziałania, a przede wszystkim zawiadomienia o tym rodziców lub opiekuna nieletniego, szkoły, sądu rodzinnego, Policji lub innego właściwego organu. Jest to jednakże obowiązek społeczny, gdyż nie ma sankcji za jego niedopełnienie. </w:t>
      </w:r>
    </w:p>
    <w:p w:rsidR="006449FD" w:rsidRPr="006449FD" w:rsidRDefault="006449FD" w:rsidP="0064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Natomiast instytucje państwowe i organizacje społeczne, które w związku ze swą działalnością dowiedziały się o popełnieniu przez nieletniego czynu karalnego ściganego z urzędu, są obowiązane niezwłocznie zawiadomić o tym sąd rodzinny lub Policję oraz przedsięwziąć czynności niecierpiące zwłoki, aby nie dopuścić do zatarcia śladów i dowodów popełnienia czynu. Poszczególne osoby zatrudnione, bądź kierujące takimi jednostkami muszą spełnić ten obowiązek, gdyż niepodjęcie takich działań może skutkować ich odpowiedzialnością karą – niedopełnienie obowiązków przez funkcjonariusza publicznego. </w:t>
      </w:r>
    </w:p>
    <w:p w:rsidR="00A669F5" w:rsidRPr="006449FD" w:rsidRDefault="00A669F5" w:rsidP="00A53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38FD5"/>
          <w:sz w:val="24"/>
          <w:szCs w:val="24"/>
        </w:rPr>
      </w:pPr>
    </w:p>
    <w:p w:rsidR="00A669F5" w:rsidRPr="006449FD" w:rsidRDefault="00A669F5" w:rsidP="00A53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38FD5"/>
          <w:sz w:val="24"/>
          <w:szCs w:val="24"/>
        </w:rPr>
      </w:pPr>
    </w:p>
    <w:p w:rsidR="00AC101F" w:rsidRPr="006449FD" w:rsidRDefault="00AC101F" w:rsidP="00A53F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01F" w:rsidRPr="006449FD" w:rsidSect="00AE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7BE"/>
    <w:multiLevelType w:val="hybridMultilevel"/>
    <w:tmpl w:val="6116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CF7"/>
    <w:multiLevelType w:val="hybridMultilevel"/>
    <w:tmpl w:val="8026C7F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9863E4"/>
    <w:multiLevelType w:val="hybridMultilevel"/>
    <w:tmpl w:val="DC80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C6CEF"/>
    <w:multiLevelType w:val="hybridMultilevel"/>
    <w:tmpl w:val="AE9AC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F75CB"/>
    <w:multiLevelType w:val="hybridMultilevel"/>
    <w:tmpl w:val="5E069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4E1"/>
    <w:rsid w:val="00014693"/>
    <w:rsid w:val="00061EC6"/>
    <w:rsid w:val="0022786C"/>
    <w:rsid w:val="002A7314"/>
    <w:rsid w:val="002C6CA2"/>
    <w:rsid w:val="00395580"/>
    <w:rsid w:val="005154D6"/>
    <w:rsid w:val="00563A87"/>
    <w:rsid w:val="005E5428"/>
    <w:rsid w:val="006213C7"/>
    <w:rsid w:val="006449FD"/>
    <w:rsid w:val="006A37C7"/>
    <w:rsid w:val="006B22F9"/>
    <w:rsid w:val="00A53F00"/>
    <w:rsid w:val="00A669F5"/>
    <w:rsid w:val="00AC101F"/>
    <w:rsid w:val="00AE1D1E"/>
    <w:rsid w:val="00B34531"/>
    <w:rsid w:val="00B409D6"/>
    <w:rsid w:val="00C172CA"/>
    <w:rsid w:val="00C3134E"/>
    <w:rsid w:val="00CC6CC1"/>
    <w:rsid w:val="00DA64E1"/>
    <w:rsid w:val="00DE6F66"/>
    <w:rsid w:val="00E7340F"/>
    <w:rsid w:val="00F9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6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C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C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6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C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C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Turek</cp:lastModifiedBy>
  <cp:revision>13</cp:revision>
  <dcterms:created xsi:type="dcterms:W3CDTF">2014-02-06T09:47:00Z</dcterms:created>
  <dcterms:modified xsi:type="dcterms:W3CDTF">2014-02-28T11:04:00Z</dcterms:modified>
</cp:coreProperties>
</file>